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  <w:bookmarkStart w:id="0" w:name="_Hlk56514854"/>
      <w:bookmarkEnd w:id="0"/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przeniesienie decyzji o pozwoleniu na wznowienie robót budowlanych, o której mowa w art. 51 ust. 4 ustawy z dnia 7 lipca 1994 r. – Prawo budowlane</w:t>
      </w:r>
    </w:p>
    <w:p>
      <w:pPr>
        <w:pStyle w:val="Gwka"/>
        <w:shd w:val="clear" w:color="auto" w:fill="D9D9D9"/>
        <w:spacing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(PB-10)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40 ust. 2 w zw. z ust. 1 i 5 pkt 2 ustawy z dnia 7 lipca 1994 r. – Prawo budowlane.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 Powiat: ………………………………………….. Gmina: .……………….……………………………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1" w:name="_Hlk39476200"/>
      <w:bookmarkEnd w:id="1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  <w:br/>
        <w:t>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……………………………………………………………………………...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08" w:hRule="atLeast"/>
        </w:trPr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4.</w:t>
            </w:r>
          </w:p>
        </w:tc>
      </w:tr>
    </w:tbl>
    <w:p>
      <w:pPr>
        <w:pStyle w:val="Normal"/>
        <w:spacing w:lineRule="auto" w:line="360" w:before="180" w:after="20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Data wydania: ……………..……………… Nr decyzji: ………..…………………………………….. Znak sprawy: ……………………………………………………………………………………………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>
      <w:pPr>
        <w:pStyle w:val="Normal"/>
        <w:spacing w:lineRule="auto" w:line="276"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10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"/>
        <w:gridCol w:w="9072"/>
      </w:tblGrid>
      <w:tr>
        <w:trPr/>
        <w:tc>
          <w:tcPr>
            <w:tcW w:w="33" w:type="dxa"/>
            <w:tcBorders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Wyrażam zgodę </w:t>
              <w:tab/>
              <w:tab/>
            </w: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bookmarkStart w:id="4" w:name="_Hlk39571485"/>
            <w:r>
              <w:rPr>
                <w:rFonts w:eastAsia="Times New Roman" w:ascii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 rozumieniu art. 2 pkt 5 ustawy z dnia 18 lipca 2002 r. o świadczeniu usług drogą elektroniczną.</w:t>
            </w:r>
            <w:bookmarkEnd w:id="4"/>
          </w:p>
        </w:tc>
      </w:tr>
      <w:tr>
        <w:trPr/>
        <w:tc>
          <w:tcPr>
            <w:tcW w:w="33" w:type="dxa"/>
            <w:tcBorders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Zgoda dotychczasowego inwestora, na rzecz którego decyzja została wydana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</w:rPr>
        <w:t>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W przypadku większej liczby inwestorów lub pełnomocników dane kolejnych inwestorów lub pełnomocników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Zgoda dotychczasowego inwestora nie jest wymagana, jeżeli własność nieruchomości lub uprawnienia wynikające z użytkowania wieczystego dotyczącego nieruchomości, objęte decyzją o pozwoleniu na wznowienie robót budowlanych, o której mowa w art. 51 ust. 4, po wydaniu tej decyzji przeszły z dotychczasowego inwestora na nowego inwestora wnioskującego o przeniesienie decyzji o pozwoleniu na wznowienie robót budowlanych, o której mowa w art. 51 ust. 4.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f7dce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0f7dc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f7dc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f7dce"/>
    <w:rPr>
      <w:rFonts w:ascii="Times" w:hAnsi="Times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1a5a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51a5a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qFormat/>
    <w:rsid w:val="000f7dce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f7dce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</w:rPr>
  </w:style>
  <w:style w:type="paragraph" w:styleId="NoSpacing">
    <w:name w:val="No Spacing"/>
    <w:uiPriority w:val="1"/>
    <w:qFormat/>
    <w:rsid w:val="000f7dce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0f7dce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0f7dce"/>
    <w:pPr>
      <w:widowControl w:val="false"/>
      <w:spacing w:lineRule="auto" w:line="360" w:before="0" w:after="0"/>
    </w:pPr>
    <w:rPr>
      <w:rFonts w:ascii="Times" w:hAnsi="Times" w:eastAsia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51a5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DCA4-B17C-46CD-84B4-AB9BA22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3</Pages>
  <Words>494</Words>
  <Characters>3523</Characters>
  <CharactersWithSpaces>3983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2021-02-22T08:56:00Z</dcterms:created>
  <dc:creator>Ewelina Grabowska</dc:creator>
  <dc:description/>
  <dc:language>pl-PL</dc:language>
  <cp:lastModifiedBy>MP</cp:lastModifiedBy>
  <dcterms:modified xsi:type="dcterms:W3CDTF">2021-02-22T08:56:00Z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